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pStyle w:val="Title"/>
      </w:pPr>
      <w:r>
        <w:t>Company Policy Manual</w:t>
      </w:r>
    </w:p>
    <w:p>
      <w:pPr>
        <w:jc w:val="center"/>
      </w:pPr>
      <w:r>
        <w:rPr>
          <w:color w:val="666666"/>
          <w:sz w:val="32"/>
        </w:rPr>
        <w:t>Pakistan Financial Services Corp</w:t>
      </w:r>
    </w:p>
    <w:p>
      <w:pPr>
        <w:jc w:val="center"/>
      </w:pPr>
      <w:r>
        <w:rPr>
          <w:color w:val="666666"/>
          <w:sz w:val="28"/>
        </w:rPr>
        <w:t>Information Security &amp; Data Protection Policies</w:t>
      </w:r>
    </w:p>
    <w:p>
      <w:pPr>
        <w:jc w:val="center"/>
      </w:pPr>
      <w:r>
        <w:rPr>
          <w:color w:val="999999"/>
          <w:sz w:val="24"/>
        </w:rPr>
        <w:t>Version 2.0 — June 2026</w:t>
      </w:r>
    </w:p>
    <w:p>
      <w:pPr>
        <w:jc w:val="center"/>
      </w:pPr>
      <w:r>
        <w:rPr>
          <w:i/>
          <w:color w:val="00D4AA"/>
          <w:sz w:val="20"/>
        </w:rPr>
        <w:t>Generated by Hamzaad ہمزاد AI Digital Employee</w:t>
      </w:r>
    </w:p>
    <w:p>
      <w:r>
        <w:br w:type="page"/>
      </w:r>
    </w:p>
    <w:p>
      <w:pPr>
        <w:pStyle w:val="Heading1"/>
      </w:pPr>
      <w:r>
        <w:t>Table of Contents</w:t>
      </w:r>
    </w:p>
    <w:p>
      <w:pPr>
        <w:spacing w:after="80"/>
      </w:pPr>
      <w:r>
        <w:t>1. Introduction &amp; Scope</w:t>
      </w:r>
    </w:p>
    <w:p>
      <w:pPr>
        <w:spacing w:after="80"/>
      </w:pPr>
      <w:r>
        <w:t>2. Information Security Policy</w:t>
      </w:r>
    </w:p>
    <w:p>
      <w:pPr>
        <w:spacing w:after="80"/>
      </w:pPr>
      <w:r>
        <w:t>3. Data Protection &amp; Privacy (PDPB 2023 Compliance)</w:t>
      </w:r>
    </w:p>
    <w:p>
      <w:pPr>
        <w:spacing w:after="80"/>
      </w:pPr>
      <w:r>
        <w:t>4. Access Control &amp; Identity Management</w:t>
      </w:r>
    </w:p>
    <w:p>
      <w:pPr>
        <w:spacing w:after="80"/>
      </w:pPr>
      <w:r>
        <w:t>5. Incident Response &amp; Breach Notification</w:t>
      </w:r>
    </w:p>
    <w:p>
      <w:pPr>
        <w:spacing w:after="80"/>
      </w:pPr>
      <w:r>
        <w:t>6. Acceptable Use Policy</w:t>
      </w:r>
    </w:p>
    <w:p>
      <w:pPr>
        <w:spacing w:after="80"/>
      </w:pPr>
      <w:r>
        <w:t>7. Vendor &amp; Third-Party Risk Management</w:t>
      </w:r>
    </w:p>
    <w:p>
      <w:pPr>
        <w:spacing w:after="80"/>
      </w:pPr>
      <w:r>
        <w:t>8. Physical Security</w:t>
      </w:r>
    </w:p>
    <w:p>
      <w:pPr>
        <w:spacing w:after="80"/>
      </w:pPr>
      <w:r>
        <w:t>9. Business Continuity &amp; Disaster Recovery</w:t>
      </w:r>
    </w:p>
    <w:p>
      <w:pPr>
        <w:spacing w:after="80"/>
      </w:pPr>
      <w:r>
        <w:t>10. Compliance &amp; Audit</w:t>
      </w:r>
    </w:p>
    <w:p>
      <w:r>
        <w:br w:type="page"/>
      </w:r>
    </w:p>
    <w:p>
      <w:pPr>
        <w:pStyle w:val="Heading1"/>
      </w:pPr>
      <w:r>
        <w:t>1. Introduction &amp; Scope</w:t>
      </w:r>
    </w:p>
    <w:p>
      <w:r>
        <w:t>This policy manual establishes the information security and data protection framework for Pakistan Financial Services Corp (PFSC). It applies to all employees, contractors, vendors, and third-party service providers who access PFSC systems, data, or facilities.</w:t>
      </w:r>
    </w:p>
    <w:p>
      <w:r>
        <w:t>The policies herein are designed to ensure compliance with the Pakistan Data Protection Bill 2023 (PDPB 2023), State Bank of Pakistan (SBP) Cyber Risk Management guidelines, and international best practices including ISO 27001 and PCI-DSS v4.0.</w:t>
      </w:r>
    </w:p>
    <w:p>
      <w:pPr>
        <w:pStyle w:val="Heading2"/>
      </w:pPr>
      <w:r>
        <w:t>1.1 Scope</w:t>
      </w:r>
    </w:p>
    <w:p>
      <w:pPr>
        <w:pStyle w:val="ListBullet"/>
      </w:pPr>
      <w:r>
        <w:t>All PFSC offices: Head Office (Lahore), Branch Office (Karachi), Data Center (Islamabad)</w:t>
      </w:r>
    </w:p>
    <w:p>
      <w:pPr>
        <w:pStyle w:val="ListBullet"/>
      </w:pPr>
      <w:r>
        <w:t>All IT systems, networks, applications, and cloud services</w:t>
      </w:r>
    </w:p>
    <w:p>
      <w:pPr>
        <w:pStyle w:val="ListBullet"/>
      </w:pPr>
      <w:r>
        <w:t>All data: customer, employee, financial, and operational</w:t>
      </w:r>
    </w:p>
    <w:p>
      <w:pPr>
        <w:pStyle w:val="ListBullet"/>
      </w:pPr>
      <w:r>
        <w:t>All personnel: permanent, contract, temporary, and vendor staff</w:t>
      </w:r>
    </w:p>
    <w:p>
      <w:pPr>
        <w:pStyle w:val="ListBullet"/>
      </w:pPr>
      <w:r>
        <w:t>All access methods: on-site, remote, mobile, and cloud</w:t>
      </w:r>
    </w:p>
    <w:p>
      <w:pPr>
        <w:pStyle w:val="Heading2"/>
      </w:pPr>
      <w:r>
        <w:t>1.2 Policy Review Cycle</w:t>
      </w:r>
    </w:p>
    <w:p>
      <w:r>
        <w:t>This manual shall be reviewed annually by the Information Security Committee. Interim updates may be issued for regulatory changes or significant security incidents. All employees must acknowledge receipt and understanding of this policy upon hire and annually thereafter.</w:t>
      </w:r>
    </w:p>
    <w:p>
      <w:pPr>
        <w:pStyle w:val="Heading1"/>
      </w:pPr>
      <w:r>
        <w:t>2. Information Security Policy</w:t>
      </w:r>
    </w:p>
    <w:p>
      <w:r>
        <w:t>PFSC is committed to protecting the confidentiality, integrity, and availability of all information assets. This policy establishes the minimum security requirements for all systems and personnel.</w:t>
      </w:r>
    </w:p>
    <w:p>
      <w:pPr>
        <w:pStyle w:val="Heading2"/>
      </w:pPr>
      <w:r>
        <w:t>2.1 Security Principles</w:t>
      </w:r>
    </w:p>
    <w:p>
      <w:pPr>
        <w:pStyle w:val="ListBullet"/>
      </w:pPr>
      <w:r>
        <w:t>Defense in Depth: Multiple layers of security controls across all systems</w:t>
      </w:r>
    </w:p>
    <w:p>
      <w:pPr>
        <w:pStyle w:val="ListBullet"/>
      </w:pPr>
      <w:r>
        <w:t>Least Privilege: Access granted only to resources required for job function</w:t>
      </w:r>
    </w:p>
    <w:p>
      <w:pPr>
        <w:pStyle w:val="ListBullet"/>
      </w:pPr>
      <w:r>
        <w:t>Need to Know: Information shared only with authorized personnel who require it</w:t>
      </w:r>
    </w:p>
    <w:p>
      <w:pPr>
        <w:pStyle w:val="ListBullet"/>
      </w:pPr>
      <w:r>
        <w:t>Accountability: All access and actions logged and auditable</w:t>
      </w:r>
    </w:p>
    <w:p>
      <w:pPr>
        <w:pStyle w:val="ListBullet"/>
      </w:pPr>
      <w:r>
        <w:t>Continuous Monitoring: Real-time security monitoring across all environments</w:t>
      </w:r>
    </w:p>
    <w:p>
      <w:pPr>
        <w:pStyle w:val="Heading2"/>
      </w:pPr>
      <w:r>
        <w:t>2.2 Asset Classification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Classification</w:t>
            </w:r>
          </w:p>
        </w:tc>
        <w:tc>
          <w:tcPr>
            <w:tcW w:type="dxa" w:w="2160"/>
          </w:tcPr>
          <w:p>
            <w:r>
              <w:rPr>
                <w:b/>
                <w:sz w:val="20"/>
              </w:rPr>
              <w:t>Description</w:t>
            </w:r>
          </w:p>
        </w:tc>
        <w:tc>
          <w:tcPr>
            <w:tcW w:type="dxa" w:w="2160"/>
          </w:tcPr>
          <w:p>
            <w:r>
              <w:rPr>
                <w:b/>
                <w:sz w:val="20"/>
              </w:rPr>
              <w:t>Examples</w:t>
            </w:r>
          </w:p>
        </w:tc>
        <w:tc>
          <w:tcPr>
            <w:tcW w:type="dxa" w:w="2160"/>
          </w:tcPr>
          <w:p>
            <w:r>
              <w:rPr>
                <w:b/>
                <w:sz w:val="20"/>
              </w:rPr>
              <w:t>Handling</w:t>
            </w:r>
          </w:p>
        </w:tc>
      </w:tr>
      <w:tr>
        <w:tc>
          <w:tcPr>
            <w:tcW w:type="dxa" w:w="2160"/>
          </w:tcPr>
          <w:p>
            <w:r>
              <w:rPr>
                <w:sz w:val="18"/>
              </w:rPr>
              <w:t>Restricted</w:t>
            </w:r>
          </w:p>
        </w:tc>
        <w:tc>
          <w:tcPr>
            <w:tcW w:type="dxa" w:w="2160"/>
          </w:tcPr>
          <w:p>
            <w:r>
              <w:rPr>
                <w:sz w:val="18"/>
              </w:rPr>
              <w:t>Highest sensitivity — severe impact if breached</w:t>
            </w:r>
          </w:p>
        </w:tc>
        <w:tc>
          <w:tcPr>
            <w:tcW w:type="dxa" w:w="2160"/>
          </w:tcPr>
          <w:p>
            <w:r>
              <w:rPr>
                <w:sz w:val="18"/>
              </w:rPr>
              <w:t>Customer PII, credentials, encryption keys</w:t>
            </w:r>
          </w:p>
        </w:tc>
        <w:tc>
          <w:tcPr>
            <w:tcW w:type="dxa" w:w="2160"/>
          </w:tcPr>
          <w:p>
            <w:r>
              <w:rPr>
                <w:sz w:val="18"/>
              </w:rPr>
              <w:t>Encrypted, need-to-know, no external sharing</w:t>
            </w:r>
          </w:p>
        </w:tc>
      </w:tr>
      <w:tr>
        <w:tc>
          <w:tcPr>
            <w:tcW w:type="dxa" w:w="2160"/>
          </w:tcPr>
          <w:p>
            <w:r>
              <w:rPr>
                <w:sz w:val="18"/>
              </w:rPr>
              <w:t>Confidential</w:t>
            </w:r>
          </w:p>
        </w:tc>
        <w:tc>
          <w:tcPr>
            <w:tcW w:type="dxa" w:w="2160"/>
          </w:tcPr>
          <w:p>
            <w:r>
              <w:rPr>
                <w:sz w:val="18"/>
              </w:rPr>
              <w:t>Sensitive — significant impact if breached</w:t>
            </w:r>
          </w:p>
        </w:tc>
        <w:tc>
          <w:tcPr>
            <w:tcW w:type="dxa" w:w="2160"/>
          </w:tcPr>
          <w:p>
            <w:r>
              <w:rPr>
                <w:sz w:val="18"/>
              </w:rPr>
              <w:t>Financial data, audit reports, contracts</w:t>
            </w:r>
          </w:p>
        </w:tc>
        <w:tc>
          <w:tcPr>
            <w:tcW w:type="dxa" w:w="2160"/>
          </w:tcPr>
          <w:p>
            <w:r>
              <w:rPr>
                <w:sz w:val="18"/>
              </w:rPr>
              <w:t>Encrypted, limited access, approved sharing only</w:t>
            </w:r>
          </w:p>
        </w:tc>
      </w:tr>
      <w:tr>
        <w:tc>
          <w:tcPr>
            <w:tcW w:type="dxa" w:w="2160"/>
          </w:tcPr>
          <w:p>
            <w:r>
              <w:rPr>
                <w:sz w:val="18"/>
              </w:rPr>
              <w:t>Internal</w:t>
            </w:r>
          </w:p>
        </w:tc>
        <w:tc>
          <w:tcPr>
            <w:tcW w:type="dxa" w:w="2160"/>
          </w:tcPr>
          <w:p>
            <w:r>
              <w:rPr>
                <w:sz w:val="18"/>
              </w:rPr>
              <w:t>Moderate sensitivity — business impact if breached</w:t>
            </w:r>
          </w:p>
        </w:tc>
        <w:tc>
          <w:tcPr>
            <w:tcW w:type="dxa" w:w="2160"/>
          </w:tcPr>
          <w:p>
            <w:r>
              <w:rPr>
                <w:sz w:val="18"/>
              </w:rPr>
              <w:t>Internal memos, project docs, org charts</w:t>
            </w:r>
          </w:p>
        </w:tc>
        <w:tc>
          <w:tcPr>
            <w:tcW w:type="dxa" w:w="2160"/>
          </w:tcPr>
          <w:p>
            <w:r>
              <w:rPr>
                <w:sz w:val="18"/>
              </w:rPr>
              <w:t>Access controlled, no public sharing</w:t>
            </w:r>
          </w:p>
        </w:tc>
      </w:tr>
      <w:tr>
        <w:tc>
          <w:tcPr>
            <w:tcW w:type="dxa" w:w="2160"/>
          </w:tcPr>
          <w:p>
            <w:r>
              <w:rPr>
                <w:sz w:val="18"/>
              </w:rPr>
              <w:t>Public</w:t>
            </w:r>
          </w:p>
        </w:tc>
        <w:tc>
          <w:tcPr>
            <w:tcW w:type="dxa" w:w="2160"/>
          </w:tcPr>
          <w:p>
            <w:r>
              <w:rPr>
                <w:sz w:val="18"/>
              </w:rPr>
              <w:t>No sensitivity — approved for public</w:t>
            </w:r>
          </w:p>
        </w:tc>
        <w:tc>
          <w:tcPr>
            <w:tcW w:type="dxa" w:w="2160"/>
          </w:tcPr>
          <w:p>
            <w:r>
              <w:rPr>
                <w:sz w:val="18"/>
              </w:rPr>
              <w:t>Marketing materials, public reports</w:t>
            </w:r>
          </w:p>
        </w:tc>
        <w:tc>
          <w:tcPr>
            <w:tcW w:type="dxa" w:w="2160"/>
          </w:tcPr>
          <w:p>
            <w:r>
              <w:rPr>
                <w:sz w:val="18"/>
              </w:rPr>
              <w:t>No restrictions</w:t>
            </w:r>
          </w:p>
        </w:tc>
      </w:tr>
    </w:tbl>
    <w:p>
      <w:pPr>
        <w:pStyle w:val="Heading1"/>
      </w:pPr>
      <w:r>
        <w:t>3. Data Protection &amp; Privacy (PDPB 2023)</w:t>
      </w:r>
    </w:p>
    <w:p>
      <w:r>
        <w:t>PFSC is committed to full compliance with the Pakistan Data Protection Bill 2023. This section outlines the requirements for handling personal data of Pakistani citizens.</w:t>
      </w:r>
    </w:p>
    <w:p>
      <w:pPr>
        <w:pStyle w:val="Heading2"/>
      </w:pPr>
      <w:r>
        <w:t>3.1 PDPB 2023 Key Requirements</w:t>
      </w:r>
    </w:p>
    <w:p>
      <w:pPr>
        <w:pStyle w:val="ListBullet"/>
      </w:pPr>
      <w:r>
        <w:t>Consent: Obtain explicit consent before collecting or processing personal data</w:t>
      </w:r>
    </w:p>
    <w:p>
      <w:pPr>
        <w:pStyle w:val="ListBullet"/>
      </w:pPr>
      <w:r>
        <w:t>Purpose Limitation: Process data only for the stated purpose</w:t>
      </w:r>
    </w:p>
    <w:p>
      <w:pPr>
        <w:pStyle w:val="ListBullet"/>
      </w:pPr>
      <w:r>
        <w:t>Data Minimization: Collect only data necessary for the stated purpose</w:t>
      </w:r>
    </w:p>
    <w:p>
      <w:pPr>
        <w:pStyle w:val="ListBullet"/>
      </w:pPr>
      <w:r>
        <w:t>Storage Limitation: Retain data only as long as necessary or legally required</w:t>
      </w:r>
    </w:p>
    <w:p>
      <w:pPr>
        <w:pStyle w:val="ListBullet"/>
      </w:pPr>
      <w:r>
        <w:t>Cross-Border Transfer: Personal data may only be transferred outside Pakistan with adequate protection</w:t>
      </w:r>
    </w:p>
    <w:p>
      <w:pPr>
        <w:pStyle w:val="ListBullet"/>
      </w:pPr>
      <w:r>
        <w:t>Breach Notification: Notify the National Data Protection Authority within 72 hours of a breach</w:t>
      </w:r>
    </w:p>
    <w:p>
      <w:pPr>
        <w:pStyle w:val="ListBullet"/>
      </w:pPr>
      <w:r>
        <w:t>Data Subject Rights: Honor requests for access, correction, and deletion of personal data</w:t>
      </w:r>
    </w:p>
    <w:p>
      <w:pPr>
        <w:pStyle w:val="Heading2"/>
      </w:pPr>
      <w:r>
        <w:t>3.2 Consent Management</w:t>
      </w:r>
    </w:p>
    <w:p>
      <w:r>
        <w:t>All personal data collection must include a clear, specific consent form in both English and Urdu. Consent must be granular — allowing separate opt-in for different processing purposes.  Consent records must be maintained for 5 years and available for audit.</w:t>
      </w:r>
    </w:p>
    <w:p>
      <w:pPr>
        <w:pStyle w:val="Heading1"/>
      </w:pPr>
      <w:r>
        <w:t>4. Access Control &amp; Identity Management</w:t>
      </w:r>
    </w:p>
    <w:p>
      <w:pPr>
        <w:pStyle w:val="Heading2"/>
      </w:pPr>
      <w:r>
        <w:t>4.1 Authentication Requirements</w:t>
      </w:r>
    </w:p>
    <w:p>
      <w:pPr>
        <w:pStyle w:val="ListBullet"/>
      </w:pPr>
      <w:r>
        <w:t>Multi-Factor Authentication (MFA) is mandatory for all administrative access</w:t>
      </w:r>
    </w:p>
    <w:p>
      <w:pPr>
        <w:pStyle w:val="ListBullet"/>
      </w:pPr>
      <w:r>
        <w:t>MFA is required for all remote access to PFSC systems</w:t>
      </w:r>
    </w:p>
    <w:p>
      <w:pPr>
        <w:pStyle w:val="ListBullet"/>
      </w:pPr>
      <w:r>
        <w:t>Passwords must be minimum 12 characters with complexity requirements</w:t>
      </w:r>
    </w:p>
    <w:p>
      <w:pPr>
        <w:pStyle w:val="ListBullet"/>
      </w:pPr>
      <w:r>
        <w:t>Password rotation every 90 days; immediate rotation upon suspected compromise</w:t>
      </w:r>
    </w:p>
    <w:p>
      <w:pPr>
        <w:pStyle w:val="ListBullet"/>
      </w:pPr>
      <w:r>
        <w:t>No shared accounts — individual accounts for all personnel</w:t>
      </w:r>
    </w:p>
    <w:p>
      <w:pPr>
        <w:pStyle w:val="ListBullet"/>
      </w:pPr>
      <w:r>
        <w:t>Privileged access must be approved by department head and logged</w:t>
      </w:r>
    </w:p>
    <w:p>
      <w:pPr>
        <w:pStyle w:val="Heading2"/>
      </w:pPr>
      <w:r>
        <w:t>4.2 Access Review</w:t>
      </w:r>
    </w:p>
    <w:p>
      <w:r>
        <w:t>Access rights must be reviewed quarterly by each department head. Terminated employees must have all access revoked within 24 hours of departure. Vendor access must be reviewed monthly and automatically expire after 90 days unless renewed.</w:t>
      </w:r>
    </w:p>
    <w:p>
      <w:pPr>
        <w:pStyle w:val="Heading1"/>
      </w:pPr>
      <w:r>
        <w:t>5. Incident Response &amp; Breach Notification</w:t>
      </w:r>
    </w:p>
    <w:p>
      <w:pPr>
        <w:pStyle w:val="Heading2"/>
      </w:pPr>
      <w:r>
        <w:t>5.1 Incident Classification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Severity</w:t>
            </w:r>
          </w:p>
        </w:tc>
        <w:tc>
          <w:tcPr>
            <w:tcW w:type="dxa" w:w="2160"/>
          </w:tcPr>
          <w:p>
            <w:r>
              <w:rPr>
                <w:b/>
                <w:sz w:val="20"/>
              </w:rPr>
              <w:t>Response Time</w:t>
            </w:r>
          </w:p>
        </w:tc>
        <w:tc>
          <w:tcPr>
            <w:tcW w:type="dxa" w:w="2160"/>
          </w:tcPr>
          <w:p>
            <w:r>
              <w:rPr>
                <w:b/>
                <w:sz w:val="20"/>
              </w:rPr>
              <w:t>Escalation</w:t>
            </w:r>
          </w:p>
        </w:tc>
        <w:tc>
          <w:tcPr>
            <w:tcW w:type="dxa" w:w="2160"/>
          </w:tcPr>
          <w:p>
            <w:r>
              <w:rPr>
                <w:b/>
                <w:sz w:val="20"/>
              </w:rPr>
              <w:t>Examples</w:t>
            </w:r>
          </w:p>
        </w:tc>
      </w:tr>
      <w:tr>
        <w:tc>
          <w:tcPr>
            <w:tcW w:type="dxa" w:w="2160"/>
          </w:tcPr>
          <w:p>
            <w:r>
              <w:rPr>
                <w:sz w:val="18"/>
              </w:rPr>
              <w:t>Critical</w:t>
            </w:r>
          </w:p>
        </w:tc>
        <w:tc>
          <w:tcPr>
            <w:tcW w:type="dxa" w:w="2160"/>
          </w:tcPr>
          <w:p>
            <w:r>
              <w:rPr>
                <w:sz w:val="18"/>
              </w:rPr>
              <w:t>15 minutes</w:t>
            </w:r>
          </w:p>
        </w:tc>
        <w:tc>
          <w:tcPr>
            <w:tcW w:type="dxa" w:w="2160"/>
          </w:tcPr>
          <w:p>
            <w:r>
              <w:rPr>
                <w:sz w:val="18"/>
              </w:rPr>
              <w:t>CEO + Board</w:t>
            </w:r>
          </w:p>
        </w:tc>
        <w:tc>
          <w:tcPr>
            <w:tcW w:type="dxa" w:w="2160"/>
          </w:tcPr>
          <w:p>
            <w:r>
              <w:rPr>
                <w:sz w:val="18"/>
              </w:rPr>
              <w:t>Data breach, ransomware, system compromise</w:t>
            </w:r>
          </w:p>
        </w:tc>
      </w:tr>
      <w:tr>
        <w:tc>
          <w:tcPr>
            <w:tcW w:type="dxa" w:w="2160"/>
          </w:tcPr>
          <w:p>
            <w:r>
              <w:rPr>
                <w:sz w:val="18"/>
              </w:rPr>
              <w:t>High</w:t>
            </w:r>
          </w:p>
        </w:tc>
        <w:tc>
          <w:tcPr>
            <w:tcW w:type="dxa" w:w="2160"/>
          </w:tcPr>
          <w:p>
            <w:r>
              <w:rPr>
                <w:sz w:val="18"/>
              </w:rPr>
              <w:t>1 hour</w:t>
            </w:r>
          </w:p>
        </w:tc>
        <w:tc>
          <w:tcPr>
            <w:tcW w:type="dxa" w:w="2160"/>
          </w:tcPr>
          <w:p>
            <w:r>
              <w:rPr>
                <w:sz w:val="18"/>
              </w:rPr>
              <w:t>CISO + CTO</w:t>
            </w:r>
          </w:p>
        </w:tc>
        <w:tc>
          <w:tcPr>
            <w:tcW w:type="dxa" w:w="2160"/>
          </w:tcPr>
          <w:p>
            <w:r>
              <w:rPr>
                <w:sz w:val="18"/>
              </w:rPr>
              <w:t>Malware detection, unauthorized access attempt</w:t>
            </w:r>
          </w:p>
        </w:tc>
      </w:tr>
      <w:tr>
        <w:tc>
          <w:tcPr>
            <w:tcW w:type="dxa" w:w="2160"/>
          </w:tcPr>
          <w:p>
            <w:r>
              <w:rPr>
                <w:sz w:val="18"/>
              </w:rPr>
              <w:t>Medium/Low</w:t>
            </w:r>
          </w:p>
        </w:tc>
        <w:tc>
          <w:tcPr>
            <w:tcW w:type="dxa" w:w="2160"/>
          </w:tcPr>
          <w:p>
            <w:r>
              <w:rPr>
                <w:sz w:val="18"/>
              </w:rPr>
              <w:t>4 hours</w:t>
            </w:r>
          </w:p>
        </w:tc>
        <w:tc>
          <w:tcPr>
            <w:tcW w:type="dxa" w:w="2160"/>
          </w:tcPr>
          <w:p>
            <w:r>
              <w:rPr>
                <w:sz w:val="18"/>
              </w:rPr>
              <w:t>IT Security Team</w:t>
            </w:r>
          </w:p>
        </w:tc>
        <w:tc>
          <w:tcPr>
            <w:tcW w:type="dxa" w:w="2160"/>
          </w:tcPr>
          <w:p>
            <w:r>
              <w:rPr>
                <w:sz w:val="18"/>
              </w:rPr>
              <w:t>Policy violation, suspicious activity</w:t>
            </w:r>
          </w:p>
        </w:tc>
      </w:tr>
    </w:tbl>
    <w:p>
      <w:pPr>
        <w:pStyle w:val="Heading2"/>
      </w:pPr>
      <w:r>
        <w:t>5.2 PDPB Breach Notification</w:t>
      </w:r>
    </w:p>
    <w:p>
      <w:r>
        <w:t>In accordance with PDPB 2023 Section 30, personal data breaches must be reported to the National Data Protection Authority within 72 hours. The notification must include: nature of the breach, categories and approximate number of data subjects affected, likely consequences, and measures taken or proposed to address the breach.</w:t>
      </w:r>
    </w:p>
    <w:p/>
    <w:p>
      <w:pPr>
        <w:jc w:val="center"/>
      </w:pPr>
      <w:r>
        <w:rPr>
          <w:i/>
          <w:color w:val="999999"/>
          <w:sz w:val="20"/>
        </w:rPr>
        <w:t>— End of Policy Manual v2.0 —</w:t>
      </w:r>
    </w:p>
    <w:p>
      <w:pPr>
        <w:jc w:val="center"/>
      </w:pPr>
      <w:r>
        <w:rPr>
          <w:color w:val="999999"/>
          <w:sz w:val="16"/>
        </w:rPr>
        <w:t>Generated by Hamzaad ہمزاد AI Digital Employee | Pakistan Financial Services Corp |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6B3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A237E"/>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333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6B3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